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Calibri" w:hAnsi="Calibri"/>
          <w:b/>
          <w:sz w:val="26"/>
        </w:rPr>
        <w:t>ВЕДОМОСТЬ ОБЪЕМОВ РАБОТ (ВОР)</w:t>
        <w:br/>
        <w:t>для проведения экспертизы сметной документации</w:t>
      </w:r>
    </w:p>
    <w:p>
      <w:r>
        <w:t>Наименование объекта строительства: [Наименование объекта, адрес]</w:t>
        <w:br/>
        <w:t>Шифр проектной документации: [Шифр проекта / Раздел АР, КР, ОВ, ВК]</w:t>
        <w:br/>
        <w:t>Организация-проектировщик: [Наименование проектной организации]</w:t>
        <w:br/>
        <w:t>Заказчик (Застройщик): [Наименование заказчика]</w:t>
        <w:br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9ECEF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№ п/п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9ECEF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Наименование конструктивных элементов и видов работ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9ECEF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Ссылка на чертежи (листы ПД/РД)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9ECEF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Ед. изм.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9ECEF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Кол-во (объем)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9ECEF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Формула и расчет объема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1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Разработка грунта котлована механизированным способом с погрузкой на автосамосвалы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Раздел КР, лист 4 (План земляных масс)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м³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1 450,00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V = 45,0 × 20,0 × 1,65 - откосы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2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Устройство песчаной подготовки под фундаментную плиту толщиной 100 мм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Раздел КР, лист 5 (Сечение 1-1)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м³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90,00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V = 45,0 × 20,0 × 0,10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3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Устройство монолитной железобетонной фундаментной плиты из бетона B25 W6 F150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Раздел КР, листы 6-8 (Опалубочный чертеж)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м³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540,00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V = 45,0 × 20,0 × 0,60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4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Армирование фундаментной плиты отдельными стержнями арматуры А500С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Раздел КР, лист 9 (Спецификация арматуры)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т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48,60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По спецификации металлопроката л. 9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5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Гидроизоляция боковых поверхностей фундамента битумно-полимерной мастикой в 2 слоя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Раздел АР, лист 12 (Узлы гидроизоляции)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м²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390,00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S = (45,0 + 20,0) × 2 × 3,0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6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Обратная засыпка пазух котлована непросадочным грунтом с послойным уплотнением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Раздел КР, лист 4 (Генплан)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м³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320,00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7"/>
              </w:rPr>
              <w:t>V_котлована - V_фундамента</w:t>
            </w:r>
          </w:p>
        </w:tc>
      </w:tr>
    </w:tbl>
    <w:p>
      <w:r>
        <w:br/>
        <w:t>Примечания к ведомости объемов работ:</w:t>
      </w:r>
    </w:p>
    <w:p>
      <w:r>
        <w:t>1. Все объемы работ подсчитаны строго по рабочим чертежам стадии РД/ПД с учетом технологических коэффициентов уплотнения и перехлестов.</w:t>
        <w:br/>
        <w:t>2. Спецификации материалов соответствуют государственным стандартам (ГОСТ, СП).</w:t>
        <w:br/>
        <w:t>3. Ведомость является исходным основанием для составления локальных сметных расчетов (ЛСР) по методике Приказа Минстроя РФ № 421/пр.</w:t>
      </w:r>
    </w:p>
    <w:p>
      <w:r>
        <w:rPr>
          <w:rFonts w:ascii="Calibri" w:hAnsi="Calibri"/>
          <w:sz w:val="20"/>
        </w:rPr>
        <w:br/>
        <w:t>Составил (Главный специалист / Инженер-проектировщик): ________________ / [ФИО] /</w:t>
        <w:br/>
        <w:t>Проверил (Главный инженер проекта — ГИП):               ________________ / [ФИО, № НРС] /</w:t>
        <w:br/>
        <w:br/>
        <w:t>Дата составления: «___» ___________ 2026 г.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